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41" w:rsidRPr="00787E2B" w:rsidRDefault="00C32F41" w:rsidP="00C32F41">
      <w:pPr>
        <w:tabs>
          <w:tab w:val="left" w:pos="6360"/>
        </w:tabs>
        <w:rPr>
          <w:rFonts w:ascii="Tahoma" w:hAnsi="Tahoma" w:cs="Tahoma"/>
        </w:rPr>
      </w:pPr>
    </w:p>
    <w:tbl>
      <w:tblPr>
        <w:tblStyle w:val="TableGrid"/>
        <w:tblW w:w="14029" w:type="dxa"/>
        <w:tblLook w:val="04A0" w:firstRow="1" w:lastRow="0" w:firstColumn="1" w:lastColumn="0" w:noHBand="0" w:noVBand="1"/>
      </w:tblPr>
      <w:tblGrid>
        <w:gridCol w:w="1838"/>
        <w:gridCol w:w="2410"/>
        <w:gridCol w:w="2693"/>
        <w:gridCol w:w="2126"/>
        <w:gridCol w:w="2694"/>
        <w:gridCol w:w="2268"/>
      </w:tblGrid>
      <w:tr w:rsidR="00C32F41" w:rsidTr="0079410B">
        <w:tc>
          <w:tcPr>
            <w:tcW w:w="14029" w:type="dxa"/>
            <w:gridSpan w:val="6"/>
          </w:tcPr>
          <w:p w:rsidR="00C32F41" w:rsidRPr="00546DA4" w:rsidRDefault="00C32F41" w:rsidP="0079410B">
            <w:pPr>
              <w:spacing w:line="0" w:lineRule="atLeast"/>
              <w:rPr>
                <w:rFonts w:ascii="Arial Narrow" w:hAnsi="Arial Narrow"/>
                <w:i/>
                <w:sz w:val="18"/>
                <w:szCs w:val="18"/>
              </w:rPr>
            </w:pPr>
            <w:r w:rsidRPr="00546DA4">
              <w:rPr>
                <w:rFonts w:ascii="Arial Narrow" w:hAnsi="Arial Narrow"/>
                <w:b/>
                <w:sz w:val="18"/>
                <w:szCs w:val="18"/>
              </w:rPr>
              <w:t>Overview: School Strategic Improvement Plan</w:t>
            </w:r>
            <w:r w:rsidRPr="00546DA4">
              <w:rPr>
                <w:rFonts w:ascii="Arial Narrow" w:hAnsi="Arial Narrow"/>
                <w:sz w:val="18"/>
                <w:szCs w:val="18"/>
              </w:rPr>
              <w:t xml:space="preserve"> “</w:t>
            </w:r>
            <w:r w:rsidRPr="00546DA4">
              <w:rPr>
                <w:rFonts w:ascii="Arial Narrow" w:hAnsi="Arial Narrow"/>
                <w:i/>
                <w:sz w:val="18"/>
                <w:szCs w:val="18"/>
              </w:rPr>
              <w:t>Those who hope in the Lord will renew their strength; they will walk and not be faint, they will run and not grow weary, they will soar on wings like eagles</w:t>
            </w:r>
            <w:r w:rsidR="00482EB4" w:rsidRPr="00546DA4">
              <w:rPr>
                <w:rFonts w:ascii="Arial Narrow" w:hAnsi="Arial Narrow"/>
                <w:i/>
                <w:sz w:val="18"/>
                <w:szCs w:val="18"/>
              </w:rPr>
              <w:t>” Isaiah</w:t>
            </w:r>
            <w:r w:rsidRPr="00546DA4">
              <w:rPr>
                <w:rFonts w:ascii="Arial Narrow" w:hAnsi="Arial Narrow"/>
                <w:b/>
                <w:i/>
                <w:sz w:val="18"/>
                <w:szCs w:val="18"/>
              </w:rPr>
              <w:t xml:space="preserve"> 30:41.</w:t>
            </w:r>
          </w:p>
        </w:tc>
      </w:tr>
      <w:tr w:rsidR="00C32F41" w:rsidTr="0079410B">
        <w:tc>
          <w:tcPr>
            <w:tcW w:w="14029" w:type="dxa"/>
            <w:gridSpan w:val="6"/>
            <w:shd w:val="clear" w:color="auto" w:fill="9CC2E5" w:themeFill="accent1" w:themeFillTint="99"/>
          </w:tcPr>
          <w:p w:rsidR="00C32F41" w:rsidRPr="00546DA4" w:rsidRDefault="00C32F41" w:rsidP="00482EB4">
            <w:pPr>
              <w:spacing w:line="0" w:lineRule="atLeast"/>
              <w:rPr>
                <w:rFonts w:ascii="Arial Narrow" w:hAnsi="Arial Narrow"/>
                <w:b/>
                <w:sz w:val="18"/>
                <w:szCs w:val="18"/>
              </w:rPr>
            </w:pPr>
            <w:r w:rsidRPr="00546DA4">
              <w:rPr>
                <w:rFonts w:ascii="Arial Narrow" w:hAnsi="Arial Narrow"/>
                <w:b/>
                <w:sz w:val="18"/>
                <w:szCs w:val="18"/>
              </w:rPr>
              <w:t xml:space="preserve">This plan is designed to provide a strategic overview of the direction for school improvement.  Our </w:t>
            </w:r>
            <w:r w:rsidRPr="00546DA4">
              <w:rPr>
                <w:rFonts w:ascii="Arial Narrow" w:hAnsi="Arial Narrow"/>
                <w:b/>
                <w:sz w:val="18"/>
                <w:szCs w:val="18"/>
                <w:u w:val="single"/>
              </w:rPr>
              <w:t>Rapid Action Plan</w:t>
            </w:r>
            <w:r w:rsidRPr="00546DA4">
              <w:rPr>
                <w:rFonts w:ascii="Arial Narrow" w:hAnsi="Arial Narrow"/>
                <w:b/>
                <w:sz w:val="18"/>
                <w:szCs w:val="18"/>
              </w:rPr>
              <w:t xml:space="preserve"> will be the working document used to focus staff on the specific actions to bring about urgent change to improve the progress of learners and monitor and drive the improvements needed using the next steps indicated in the last Ofsted report. </w:t>
            </w:r>
            <w:r w:rsidR="00482EB4">
              <w:rPr>
                <w:rFonts w:ascii="Arial Narrow" w:hAnsi="Arial Narrow"/>
                <w:b/>
                <w:sz w:val="18"/>
                <w:szCs w:val="18"/>
              </w:rPr>
              <w:t xml:space="preserve">In the full plan we have the detail of ‘the how, the when and the who.’  This was coloured coded based on progress in March 2020.  Progress since then will be limited due to the coronavirus outbreak. </w:t>
            </w:r>
          </w:p>
        </w:tc>
      </w:tr>
      <w:tr w:rsidR="00C32F41" w:rsidTr="0079410B">
        <w:tc>
          <w:tcPr>
            <w:tcW w:w="14029" w:type="dxa"/>
            <w:gridSpan w:val="6"/>
            <w:shd w:val="clear" w:color="auto" w:fill="D9D9D9" w:themeFill="background1" w:themeFillShade="D9"/>
          </w:tcPr>
          <w:p w:rsidR="00C32F41" w:rsidRPr="00546DA4" w:rsidRDefault="00C32F41" w:rsidP="0079410B">
            <w:pPr>
              <w:spacing w:line="0" w:lineRule="atLeast"/>
              <w:rPr>
                <w:rFonts w:ascii="Arial Narrow" w:hAnsi="Arial Narrow"/>
                <w:b/>
                <w:sz w:val="18"/>
                <w:szCs w:val="18"/>
              </w:rPr>
            </w:pPr>
            <w:r w:rsidRPr="00546DA4">
              <w:rPr>
                <w:rFonts w:ascii="Arial Narrow" w:hAnsi="Arial Narrow"/>
                <w:b/>
                <w:sz w:val="18"/>
                <w:szCs w:val="18"/>
              </w:rPr>
              <w:t xml:space="preserve">Ambition Statement </w:t>
            </w:r>
          </w:p>
          <w:p w:rsidR="00C32F41" w:rsidRPr="00546DA4" w:rsidRDefault="00C32F41" w:rsidP="0079410B">
            <w:pPr>
              <w:spacing w:line="0" w:lineRule="atLeast"/>
              <w:rPr>
                <w:rFonts w:ascii="Arial Narrow" w:hAnsi="Arial Narrow"/>
                <w:i/>
                <w:sz w:val="18"/>
                <w:szCs w:val="18"/>
              </w:rPr>
            </w:pPr>
            <w:r w:rsidRPr="00546DA4">
              <w:rPr>
                <w:rFonts w:ascii="Arial Narrow" w:hAnsi="Arial Narrow"/>
                <w:i/>
                <w:sz w:val="18"/>
                <w:szCs w:val="18"/>
              </w:rPr>
              <w:t>“Within three years St Joseph’s will have become an outstanding school for our young people.  It will be a place where, due to a strong sense of belonging young people achieve beyond their own imaginations.  Progress outcomes for all students but especially for the most able, disadvantaged and those with SEND will be above national. There will be stability in staffing with vacancies arising as people are promoted to more senior positions.  St Joseph’s will be a desirable place to work and learn as Learning and Teaching will be characterized by practitioners who are hungry to grow, learning from each other developing practice to have more profound impact on the lives of young people. The school environment will be increasingly inspiring and will be oversubscribed as parents see the life changing opportunities available to every young person through the curriculum, the bucket list and extracurricular activities such as trips and other experiences. St Joseph’s will promote academic excellence and will be an experience that enables the young person to grow into an adult who can have a positive impact on the world.   Being part of our community will be a life changing adventure.”</w:t>
            </w:r>
          </w:p>
        </w:tc>
      </w:tr>
      <w:tr w:rsidR="00C32F41" w:rsidTr="0079410B">
        <w:tc>
          <w:tcPr>
            <w:tcW w:w="1838" w:type="dxa"/>
          </w:tcPr>
          <w:p w:rsidR="00C32F41" w:rsidRPr="00546DA4" w:rsidRDefault="00C32F41" w:rsidP="0079410B">
            <w:pPr>
              <w:spacing w:line="0" w:lineRule="atLeast"/>
              <w:rPr>
                <w:rFonts w:ascii="Arial Narrow" w:hAnsi="Arial Narrow"/>
                <w:b/>
                <w:sz w:val="18"/>
                <w:szCs w:val="18"/>
              </w:rPr>
            </w:pPr>
            <w:r w:rsidRPr="00546DA4">
              <w:rPr>
                <w:rFonts w:ascii="Arial Narrow" w:hAnsi="Arial Narrow"/>
                <w:b/>
                <w:sz w:val="18"/>
                <w:szCs w:val="18"/>
              </w:rPr>
              <w:t>Section 1: Mission and Ethos</w:t>
            </w:r>
          </w:p>
        </w:tc>
        <w:tc>
          <w:tcPr>
            <w:tcW w:w="2410"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 xml:space="preserve">Review 5W provision: </w:t>
            </w:r>
            <w:r w:rsidRPr="00546DA4">
              <w:rPr>
                <w:rFonts w:ascii="Arial Narrow" w:hAnsi="Arial Narrow"/>
                <w:color w:val="C45911" w:themeColor="accent2" w:themeShade="BF"/>
                <w:sz w:val="18"/>
                <w:szCs w:val="18"/>
              </w:rPr>
              <w:t>Mission to move from the wall into the lives of all our community</w:t>
            </w:r>
          </w:p>
        </w:tc>
        <w:tc>
          <w:tcPr>
            <w:tcW w:w="2693" w:type="dxa"/>
          </w:tcPr>
          <w:p w:rsidR="00C32F41" w:rsidRPr="00546DA4" w:rsidRDefault="00C32F41" w:rsidP="0079410B">
            <w:pPr>
              <w:spacing w:line="0" w:lineRule="atLeast"/>
              <w:rPr>
                <w:rFonts w:ascii="Arial Narrow" w:hAnsi="Arial Narrow"/>
                <w:color w:val="C45911" w:themeColor="accent2" w:themeShade="BF"/>
                <w:sz w:val="18"/>
                <w:szCs w:val="18"/>
              </w:rPr>
            </w:pPr>
            <w:r w:rsidRPr="00546DA4">
              <w:rPr>
                <w:rFonts w:ascii="Arial Narrow" w:hAnsi="Arial Narrow"/>
                <w:color w:val="C45911" w:themeColor="accent2" w:themeShade="BF"/>
                <w:sz w:val="18"/>
                <w:szCs w:val="18"/>
              </w:rPr>
              <w:t xml:space="preserve">Expand the role of GIFT team and Caritas Ambassadors/SVP by having a team approach to chaplaincy. </w:t>
            </w:r>
          </w:p>
        </w:tc>
        <w:tc>
          <w:tcPr>
            <w:tcW w:w="2126"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 xml:space="preserve">All staff contribute to Sacred Space with coaching/training to get a consistently good worshipful start to the day. </w:t>
            </w:r>
          </w:p>
        </w:tc>
        <w:tc>
          <w:tcPr>
            <w:tcW w:w="2694"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Develop parish links so that the faith in school is sustained through the wider church.</w:t>
            </w:r>
          </w:p>
        </w:tc>
        <w:tc>
          <w:tcPr>
            <w:tcW w:w="2268" w:type="dxa"/>
          </w:tcPr>
          <w:p w:rsidR="00C32F41" w:rsidRPr="00546DA4" w:rsidRDefault="00C32F41" w:rsidP="0079410B">
            <w:pPr>
              <w:spacing w:line="0" w:lineRule="atLeast"/>
              <w:rPr>
                <w:rFonts w:ascii="Arial Narrow" w:hAnsi="Arial Narrow"/>
                <w:sz w:val="18"/>
                <w:szCs w:val="18"/>
              </w:rPr>
            </w:pPr>
          </w:p>
        </w:tc>
      </w:tr>
      <w:tr w:rsidR="00C32F41" w:rsidTr="0079410B">
        <w:tc>
          <w:tcPr>
            <w:tcW w:w="1838" w:type="dxa"/>
          </w:tcPr>
          <w:p w:rsidR="00C32F41" w:rsidRPr="00546DA4" w:rsidRDefault="00C32F41" w:rsidP="0079410B">
            <w:pPr>
              <w:spacing w:line="0" w:lineRule="atLeast"/>
              <w:rPr>
                <w:rFonts w:ascii="Arial Narrow" w:hAnsi="Arial Narrow"/>
                <w:b/>
                <w:sz w:val="18"/>
                <w:szCs w:val="18"/>
              </w:rPr>
            </w:pPr>
            <w:r w:rsidRPr="00546DA4">
              <w:rPr>
                <w:rFonts w:ascii="Arial Narrow" w:hAnsi="Arial Narrow"/>
                <w:b/>
                <w:sz w:val="18"/>
                <w:szCs w:val="18"/>
              </w:rPr>
              <w:t>Section 2: The quality of education</w:t>
            </w:r>
          </w:p>
        </w:tc>
        <w:tc>
          <w:tcPr>
            <w:tcW w:w="2410" w:type="dxa"/>
          </w:tcPr>
          <w:p w:rsidR="00C32F41" w:rsidRPr="00546DA4" w:rsidRDefault="00C32F41" w:rsidP="0079410B">
            <w:pPr>
              <w:spacing w:line="0" w:lineRule="atLeast"/>
              <w:rPr>
                <w:rFonts w:ascii="Arial Narrow" w:hAnsi="Arial Narrow"/>
                <w:sz w:val="18"/>
                <w:szCs w:val="18"/>
                <w:highlight w:val="yellow"/>
              </w:rPr>
            </w:pPr>
            <w:r w:rsidRPr="00546DA4">
              <w:rPr>
                <w:rFonts w:ascii="Arial Narrow" w:hAnsi="Arial Narrow"/>
                <w:color w:val="C45911" w:themeColor="accent2" w:themeShade="BF"/>
                <w:sz w:val="18"/>
                <w:szCs w:val="18"/>
              </w:rPr>
              <w:t xml:space="preserve">Improve progress outcomes in line with target setting document with focus on diminishing the difference for the Most able, SEND and disadvantaged. </w:t>
            </w:r>
          </w:p>
        </w:tc>
        <w:tc>
          <w:tcPr>
            <w:tcW w:w="2693"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Review and develop the full curriculum offer for our students.  Curriculu</w:t>
            </w:r>
            <w:r w:rsidR="00482EB4">
              <w:rPr>
                <w:rFonts w:ascii="Arial Narrow" w:hAnsi="Arial Narrow"/>
                <w:color w:val="00B050"/>
                <w:sz w:val="18"/>
                <w:szCs w:val="18"/>
              </w:rPr>
              <w:t xml:space="preserve">m is broad, coherent, balanced, </w:t>
            </w:r>
            <w:r w:rsidR="00482EB4" w:rsidRPr="00546DA4">
              <w:rPr>
                <w:rFonts w:ascii="Arial Narrow" w:hAnsi="Arial Narrow"/>
                <w:sz w:val="18"/>
                <w:szCs w:val="18"/>
              </w:rPr>
              <w:t>progressive</w:t>
            </w:r>
            <w:r w:rsidRPr="00546DA4">
              <w:rPr>
                <w:rFonts w:ascii="Arial Narrow" w:hAnsi="Arial Narrow"/>
                <w:sz w:val="18"/>
                <w:szCs w:val="18"/>
              </w:rPr>
              <w:t xml:space="preserve"> and prepares students for life. </w:t>
            </w:r>
            <w:r w:rsidRPr="00546DA4">
              <w:rPr>
                <w:rFonts w:ascii="Arial Narrow" w:hAnsi="Arial Narrow"/>
                <w:color w:val="00B050"/>
                <w:sz w:val="18"/>
                <w:szCs w:val="18"/>
              </w:rPr>
              <w:t>FBV</w:t>
            </w:r>
            <w:r w:rsidR="00EE52DB" w:rsidRPr="00546DA4">
              <w:rPr>
                <w:rFonts w:ascii="Arial Narrow" w:hAnsi="Arial Narrow"/>
                <w:color w:val="00B050"/>
                <w:sz w:val="18"/>
                <w:szCs w:val="18"/>
              </w:rPr>
              <w:t>, SMSC</w:t>
            </w:r>
            <w:r w:rsidRPr="00546DA4">
              <w:rPr>
                <w:rFonts w:ascii="Arial Narrow" w:hAnsi="Arial Narrow"/>
                <w:color w:val="00B050"/>
                <w:sz w:val="18"/>
                <w:szCs w:val="18"/>
              </w:rPr>
              <w:t>, CIAG are all mapped out and implemented in an impactful way.</w:t>
            </w:r>
          </w:p>
        </w:tc>
        <w:tc>
          <w:tcPr>
            <w:tcW w:w="2126" w:type="dxa"/>
          </w:tcPr>
          <w:p w:rsidR="00C32F41" w:rsidRPr="00546DA4" w:rsidRDefault="00C32F41" w:rsidP="0079410B">
            <w:pPr>
              <w:spacing w:line="0" w:lineRule="atLeast"/>
              <w:rPr>
                <w:rFonts w:ascii="Arial Narrow" w:hAnsi="Arial Narrow"/>
                <w:color w:val="C45911" w:themeColor="accent2" w:themeShade="BF"/>
                <w:sz w:val="18"/>
                <w:szCs w:val="18"/>
              </w:rPr>
            </w:pPr>
            <w:r w:rsidRPr="00546DA4">
              <w:rPr>
                <w:rFonts w:ascii="Arial Narrow" w:hAnsi="Arial Narrow"/>
                <w:color w:val="C45911" w:themeColor="accent2" w:themeShade="BF"/>
                <w:sz w:val="18"/>
                <w:szCs w:val="18"/>
              </w:rPr>
              <w:t xml:space="preserve">Learning and Teaching ensures that the curriculum is implemented well with high levels of stretch and challenge via consistently high expectations of all. </w:t>
            </w:r>
          </w:p>
          <w:p w:rsidR="00C32F41" w:rsidRPr="00546DA4" w:rsidRDefault="00C32F41" w:rsidP="0079410B">
            <w:pPr>
              <w:spacing w:line="0" w:lineRule="atLeast"/>
              <w:rPr>
                <w:rFonts w:ascii="Arial Narrow" w:hAnsi="Arial Narrow"/>
                <w:color w:val="C45911" w:themeColor="accent2" w:themeShade="BF"/>
                <w:sz w:val="18"/>
                <w:szCs w:val="18"/>
              </w:rPr>
            </w:pPr>
          </w:p>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Bespoke CPD</w:t>
            </w:r>
          </w:p>
        </w:tc>
        <w:tc>
          <w:tcPr>
            <w:tcW w:w="2694"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Establish high quality assessment practices inform quality L&amp;T and support curriculum planning.</w:t>
            </w:r>
          </w:p>
        </w:tc>
        <w:tc>
          <w:tcPr>
            <w:tcW w:w="2268" w:type="dxa"/>
          </w:tcPr>
          <w:p w:rsidR="00C32F41" w:rsidRPr="00546DA4" w:rsidRDefault="00C32F41" w:rsidP="0079410B">
            <w:pPr>
              <w:spacing w:line="0" w:lineRule="atLeast"/>
              <w:rPr>
                <w:rFonts w:ascii="Arial Narrow" w:hAnsi="Arial Narrow"/>
                <w:sz w:val="18"/>
                <w:szCs w:val="18"/>
                <w:highlight w:val="yellow"/>
              </w:rPr>
            </w:pPr>
            <w:r w:rsidRPr="00546DA4">
              <w:rPr>
                <w:rFonts w:ascii="Arial Narrow" w:hAnsi="Arial Narrow"/>
                <w:color w:val="C45911" w:themeColor="accent2" w:themeShade="BF"/>
                <w:sz w:val="18"/>
                <w:szCs w:val="18"/>
              </w:rPr>
              <w:t>Robust school wide monitoring systems are implemented.</w:t>
            </w:r>
          </w:p>
        </w:tc>
      </w:tr>
      <w:tr w:rsidR="00C32F41" w:rsidTr="0079410B">
        <w:tc>
          <w:tcPr>
            <w:tcW w:w="1838" w:type="dxa"/>
          </w:tcPr>
          <w:p w:rsidR="00C32F41" w:rsidRPr="00546DA4" w:rsidRDefault="00C32F41" w:rsidP="0079410B">
            <w:pPr>
              <w:spacing w:line="0" w:lineRule="atLeast"/>
              <w:rPr>
                <w:rFonts w:ascii="Arial Narrow" w:hAnsi="Arial Narrow"/>
                <w:b/>
                <w:sz w:val="18"/>
                <w:szCs w:val="18"/>
              </w:rPr>
            </w:pPr>
            <w:r w:rsidRPr="00546DA4">
              <w:rPr>
                <w:rFonts w:ascii="Arial Narrow" w:hAnsi="Arial Narrow"/>
                <w:b/>
                <w:sz w:val="18"/>
                <w:szCs w:val="18"/>
              </w:rPr>
              <w:t>Section 3: Behaviour and attitudes</w:t>
            </w:r>
          </w:p>
        </w:tc>
        <w:tc>
          <w:tcPr>
            <w:tcW w:w="2410"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 xml:space="preserve">Simplify and develop the Behaviour policy with clearly defined student expectations </w:t>
            </w:r>
          </w:p>
        </w:tc>
        <w:tc>
          <w:tcPr>
            <w:tcW w:w="2693"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 xml:space="preserve">Empower staff at all levels to improve behaviour by equipping them with the analysis tools. </w:t>
            </w:r>
          </w:p>
        </w:tc>
        <w:tc>
          <w:tcPr>
            <w:tcW w:w="2126"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 xml:space="preserve">Re-define roles and responsibilities in the Pastoral support team to provide focused staffing for inclusion, attendance, counselling and nurture. </w:t>
            </w:r>
          </w:p>
        </w:tc>
        <w:tc>
          <w:tcPr>
            <w:tcW w:w="2694"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FF0000"/>
                <w:sz w:val="18"/>
                <w:szCs w:val="18"/>
              </w:rPr>
              <w:t xml:space="preserve">Improve punctuality (between lessons) attendance and tackle persistent absenteeism. </w:t>
            </w:r>
            <w:proofErr w:type="spellStart"/>
            <w:r w:rsidRPr="00546DA4">
              <w:rPr>
                <w:rFonts w:ascii="Arial Narrow" w:hAnsi="Arial Narrow"/>
                <w:color w:val="FF0000"/>
                <w:sz w:val="18"/>
                <w:szCs w:val="18"/>
              </w:rPr>
              <w:t>Esp</w:t>
            </w:r>
            <w:proofErr w:type="spellEnd"/>
            <w:r w:rsidRPr="00546DA4">
              <w:rPr>
                <w:rFonts w:ascii="Arial Narrow" w:hAnsi="Arial Narrow"/>
                <w:color w:val="FF0000"/>
                <w:sz w:val="18"/>
                <w:szCs w:val="18"/>
              </w:rPr>
              <w:t xml:space="preserve"> for (FSM/PP/SEND)</w:t>
            </w:r>
          </w:p>
        </w:tc>
        <w:tc>
          <w:tcPr>
            <w:tcW w:w="2268"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 xml:space="preserve">Reduce exclusions </w:t>
            </w:r>
          </w:p>
        </w:tc>
      </w:tr>
      <w:tr w:rsidR="00C32F41" w:rsidTr="0079410B">
        <w:tc>
          <w:tcPr>
            <w:tcW w:w="1838" w:type="dxa"/>
          </w:tcPr>
          <w:p w:rsidR="00C32F41" w:rsidRPr="00546DA4" w:rsidRDefault="00C32F41" w:rsidP="0079410B">
            <w:pPr>
              <w:spacing w:line="0" w:lineRule="atLeast"/>
              <w:rPr>
                <w:rFonts w:ascii="Arial Narrow" w:hAnsi="Arial Narrow"/>
                <w:b/>
                <w:sz w:val="18"/>
                <w:szCs w:val="18"/>
              </w:rPr>
            </w:pPr>
            <w:r w:rsidRPr="00546DA4">
              <w:rPr>
                <w:rFonts w:ascii="Arial Narrow" w:hAnsi="Arial Narrow"/>
                <w:b/>
                <w:sz w:val="18"/>
                <w:szCs w:val="18"/>
              </w:rPr>
              <w:t>Section 4: Personal development</w:t>
            </w:r>
          </w:p>
        </w:tc>
        <w:tc>
          <w:tcPr>
            <w:tcW w:w="2410"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SMSC &amp; FBV &amp;GV</w:t>
            </w:r>
            <w:r w:rsidR="00F53659">
              <w:rPr>
                <w:rFonts w:ascii="Arial Narrow" w:hAnsi="Arial Narrow"/>
                <w:color w:val="00B050"/>
                <w:sz w:val="18"/>
                <w:szCs w:val="18"/>
              </w:rPr>
              <w:t xml:space="preserve"> </w:t>
            </w:r>
            <w:r w:rsidR="00F53659" w:rsidRPr="00F53659">
              <w:rPr>
                <w:rFonts w:ascii="Arial Narrow" w:hAnsi="Arial Narrow"/>
                <w:color w:val="C45911" w:themeColor="accent2" w:themeShade="BF"/>
                <w:sz w:val="18"/>
                <w:szCs w:val="18"/>
              </w:rPr>
              <w:t>pupil voice</w:t>
            </w:r>
          </w:p>
        </w:tc>
        <w:tc>
          <w:tcPr>
            <w:tcW w:w="2693" w:type="dxa"/>
          </w:tcPr>
          <w:p w:rsidR="00C32F41" w:rsidRPr="00546DA4" w:rsidRDefault="00C32F41" w:rsidP="0079410B">
            <w:pPr>
              <w:spacing w:line="0" w:lineRule="atLeast"/>
              <w:rPr>
                <w:rFonts w:ascii="Arial Narrow" w:hAnsi="Arial Narrow"/>
                <w:sz w:val="18"/>
                <w:szCs w:val="18"/>
              </w:rPr>
            </w:pPr>
            <w:r w:rsidRPr="00C32F41">
              <w:rPr>
                <w:rFonts w:ascii="Arial Narrow" w:hAnsi="Arial Narrow"/>
                <w:color w:val="C45911" w:themeColor="accent2" w:themeShade="BF"/>
                <w:sz w:val="18"/>
                <w:szCs w:val="18"/>
              </w:rPr>
              <w:t>Metacognition and independent learning, Culture, Character Confidence and resilience</w:t>
            </w:r>
          </w:p>
        </w:tc>
        <w:tc>
          <w:tcPr>
            <w:tcW w:w="2126" w:type="dxa"/>
          </w:tcPr>
          <w:p w:rsidR="00C32F41" w:rsidRPr="00546DA4" w:rsidRDefault="00C32F41" w:rsidP="0079410B">
            <w:pPr>
              <w:spacing w:line="0" w:lineRule="atLeast"/>
              <w:rPr>
                <w:rFonts w:ascii="Arial Narrow" w:hAnsi="Arial Narrow"/>
                <w:color w:val="00B050"/>
                <w:sz w:val="18"/>
                <w:szCs w:val="18"/>
              </w:rPr>
            </w:pPr>
            <w:r w:rsidRPr="00546DA4">
              <w:rPr>
                <w:rFonts w:ascii="Arial Narrow" w:hAnsi="Arial Narrow"/>
                <w:color w:val="00B050"/>
                <w:sz w:val="18"/>
                <w:szCs w:val="18"/>
              </w:rPr>
              <w:t xml:space="preserve">Gatsby standards – See Gatsby development plan. </w:t>
            </w:r>
          </w:p>
        </w:tc>
        <w:tc>
          <w:tcPr>
            <w:tcW w:w="2694" w:type="dxa"/>
          </w:tcPr>
          <w:p w:rsidR="00C32F41" w:rsidRPr="00546DA4" w:rsidRDefault="00C32F41" w:rsidP="0079410B">
            <w:pPr>
              <w:spacing w:line="0" w:lineRule="atLeast"/>
              <w:rPr>
                <w:rFonts w:ascii="Arial Narrow" w:hAnsi="Arial Narrow"/>
                <w:color w:val="00B050"/>
                <w:sz w:val="18"/>
                <w:szCs w:val="18"/>
              </w:rPr>
            </w:pPr>
            <w:r w:rsidRPr="00546DA4">
              <w:rPr>
                <w:rFonts w:ascii="Arial Narrow" w:hAnsi="Arial Narrow"/>
                <w:color w:val="C45911" w:themeColor="accent2" w:themeShade="BF"/>
                <w:sz w:val="18"/>
                <w:szCs w:val="18"/>
              </w:rPr>
              <w:t>Physical and Mental Health</w:t>
            </w:r>
          </w:p>
        </w:tc>
        <w:tc>
          <w:tcPr>
            <w:tcW w:w="2268" w:type="dxa"/>
          </w:tcPr>
          <w:p w:rsidR="00C32F41" w:rsidRPr="00546DA4" w:rsidRDefault="00C32F41" w:rsidP="0079410B">
            <w:pPr>
              <w:spacing w:line="0" w:lineRule="atLeast"/>
              <w:rPr>
                <w:rFonts w:ascii="Arial Narrow" w:hAnsi="Arial Narrow"/>
                <w:sz w:val="18"/>
                <w:szCs w:val="18"/>
              </w:rPr>
            </w:pPr>
          </w:p>
        </w:tc>
      </w:tr>
      <w:tr w:rsidR="00C32F41" w:rsidTr="0079410B">
        <w:tc>
          <w:tcPr>
            <w:tcW w:w="1838" w:type="dxa"/>
          </w:tcPr>
          <w:p w:rsidR="00C32F41" w:rsidRPr="00546DA4" w:rsidRDefault="00C32F41" w:rsidP="0079410B">
            <w:pPr>
              <w:spacing w:line="0" w:lineRule="atLeast"/>
              <w:rPr>
                <w:rFonts w:ascii="Arial Narrow" w:hAnsi="Arial Narrow"/>
                <w:b/>
                <w:sz w:val="18"/>
                <w:szCs w:val="18"/>
              </w:rPr>
            </w:pPr>
            <w:r w:rsidRPr="00546DA4">
              <w:rPr>
                <w:rFonts w:ascii="Arial Narrow" w:hAnsi="Arial Narrow"/>
                <w:b/>
                <w:sz w:val="18"/>
                <w:szCs w:val="18"/>
              </w:rPr>
              <w:t>Section 5:</w:t>
            </w:r>
            <w:r w:rsidRPr="00546DA4">
              <w:rPr>
                <w:sz w:val="18"/>
                <w:szCs w:val="18"/>
              </w:rPr>
              <w:t xml:space="preserve"> </w:t>
            </w:r>
            <w:r w:rsidRPr="00546DA4">
              <w:rPr>
                <w:rFonts w:ascii="Arial Narrow" w:hAnsi="Arial Narrow"/>
                <w:b/>
                <w:sz w:val="18"/>
                <w:szCs w:val="18"/>
              </w:rPr>
              <w:t>Leadership and management</w:t>
            </w:r>
          </w:p>
        </w:tc>
        <w:tc>
          <w:tcPr>
            <w:tcW w:w="2410"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 xml:space="preserve">Strengthen leadership at all levels </w:t>
            </w:r>
          </w:p>
        </w:tc>
        <w:tc>
          <w:tcPr>
            <w:tcW w:w="2693"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 xml:space="preserve">More closely monitoring impact </w:t>
            </w:r>
          </w:p>
        </w:tc>
        <w:tc>
          <w:tcPr>
            <w:tcW w:w="2126"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 xml:space="preserve">Workload – Collaborate on the efficiency of systems meet the needs of learners. </w:t>
            </w:r>
          </w:p>
        </w:tc>
        <w:tc>
          <w:tcPr>
            <w:tcW w:w="2694"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Community voice – listening and responding.</w:t>
            </w:r>
          </w:p>
        </w:tc>
        <w:tc>
          <w:tcPr>
            <w:tcW w:w="2268"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 xml:space="preserve">Strengthen governance by implementing the RoG plan. </w:t>
            </w:r>
          </w:p>
        </w:tc>
      </w:tr>
      <w:tr w:rsidR="00C32F41" w:rsidTr="0079410B">
        <w:tc>
          <w:tcPr>
            <w:tcW w:w="1838" w:type="dxa"/>
          </w:tcPr>
          <w:p w:rsidR="00C32F41" w:rsidRPr="00546DA4" w:rsidRDefault="00C32F41" w:rsidP="0079410B">
            <w:pPr>
              <w:spacing w:line="0" w:lineRule="atLeast"/>
              <w:rPr>
                <w:rFonts w:ascii="Arial Narrow" w:hAnsi="Arial Narrow"/>
                <w:b/>
                <w:sz w:val="18"/>
                <w:szCs w:val="18"/>
              </w:rPr>
            </w:pPr>
            <w:r w:rsidRPr="00546DA4">
              <w:rPr>
                <w:rFonts w:ascii="Arial Narrow" w:hAnsi="Arial Narrow"/>
                <w:b/>
                <w:sz w:val="18"/>
                <w:szCs w:val="18"/>
              </w:rPr>
              <w:t xml:space="preserve">Section 6: Premises and ICT </w:t>
            </w:r>
          </w:p>
        </w:tc>
        <w:tc>
          <w:tcPr>
            <w:tcW w:w="2410" w:type="dxa"/>
          </w:tcPr>
          <w:p w:rsidR="00C32F41" w:rsidRPr="00546DA4" w:rsidRDefault="00C32F41" w:rsidP="0079410B">
            <w:pPr>
              <w:spacing w:line="0" w:lineRule="atLeast"/>
              <w:rPr>
                <w:rFonts w:ascii="Arial Narrow" w:hAnsi="Arial Narrow"/>
                <w:sz w:val="18"/>
                <w:szCs w:val="18"/>
              </w:rPr>
            </w:pPr>
            <w:r w:rsidRPr="00482EB4">
              <w:rPr>
                <w:rFonts w:ascii="Arial Narrow" w:hAnsi="Arial Narrow"/>
                <w:color w:val="00B050"/>
                <w:sz w:val="18"/>
                <w:szCs w:val="18"/>
              </w:rPr>
              <w:t>VLE and website development/Marketing.</w:t>
            </w:r>
          </w:p>
        </w:tc>
        <w:tc>
          <w:tcPr>
            <w:tcW w:w="2693" w:type="dxa"/>
          </w:tcPr>
          <w:p w:rsidR="00C32F41" w:rsidRPr="00546DA4" w:rsidRDefault="00C32F41" w:rsidP="0079410B">
            <w:pPr>
              <w:spacing w:line="0" w:lineRule="atLeast"/>
              <w:rPr>
                <w:rFonts w:ascii="Arial Narrow" w:hAnsi="Arial Narrow"/>
                <w:sz w:val="18"/>
                <w:szCs w:val="18"/>
              </w:rPr>
            </w:pPr>
            <w:r w:rsidRPr="00482EB4">
              <w:rPr>
                <w:rFonts w:ascii="Arial Narrow" w:hAnsi="Arial Narrow"/>
                <w:color w:val="00B050"/>
                <w:sz w:val="18"/>
                <w:szCs w:val="18"/>
              </w:rPr>
              <w:t>Focused Learning environmen</w:t>
            </w:r>
            <w:r w:rsidR="00482EB4">
              <w:rPr>
                <w:rFonts w:ascii="Arial Narrow" w:hAnsi="Arial Narrow"/>
                <w:color w:val="00B050"/>
                <w:sz w:val="18"/>
                <w:szCs w:val="18"/>
              </w:rPr>
              <w:t xml:space="preserve">t standard across the school.  </w:t>
            </w:r>
          </w:p>
        </w:tc>
        <w:tc>
          <w:tcPr>
            <w:tcW w:w="2126"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Site improvement – redecoration and refurbish plan.</w:t>
            </w:r>
          </w:p>
        </w:tc>
        <w:tc>
          <w:tcPr>
            <w:tcW w:w="2694"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C45911" w:themeColor="accent2" w:themeShade="BF"/>
                <w:sz w:val="18"/>
                <w:szCs w:val="18"/>
              </w:rPr>
              <w:t>Site safety – zoning for easier supervision</w:t>
            </w:r>
          </w:p>
        </w:tc>
        <w:tc>
          <w:tcPr>
            <w:tcW w:w="2268" w:type="dxa"/>
          </w:tcPr>
          <w:p w:rsidR="00C32F41" w:rsidRPr="00546DA4" w:rsidRDefault="00C32F41" w:rsidP="0079410B">
            <w:pPr>
              <w:spacing w:line="0" w:lineRule="atLeast"/>
              <w:rPr>
                <w:rFonts w:ascii="Arial Narrow" w:hAnsi="Arial Narrow"/>
                <w:sz w:val="18"/>
                <w:szCs w:val="18"/>
              </w:rPr>
            </w:pPr>
            <w:r w:rsidRPr="00546DA4">
              <w:rPr>
                <w:rFonts w:ascii="Arial Narrow" w:hAnsi="Arial Narrow"/>
                <w:color w:val="00B050"/>
                <w:sz w:val="18"/>
                <w:szCs w:val="18"/>
              </w:rPr>
              <w:t xml:space="preserve">Develop and improve Dining Experience. </w:t>
            </w:r>
          </w:p>
        </w:tc>
      </w:tr>
    </w:tbl>
    <w:p w:rsidR="004B62CC" w:rsidRDefault="004B62CC">
      <w:bookmarkStart w:id="0" w:name="_GoBack"/>
      <w:bookmarkEnd w:id="0"/>
    </w:p>
    <w:sectPr w:rsidR="004B62CC" w:rsidSect="00C32F41">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2389"/>
    <w:multiLevelType w:val="hybridMultilevel"/>
    <w:tmpl w:val="DD8A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445E"/>
    <w:multiLevelType w:val="hybridMultilevel"/>
    <w:tmpl w:val="3624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0628D"/>
    <w:multiLevelType w:val="hybridMultilevel"/>
    <w:tmpl w:val="EE02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7E19"/>
    <w:multiLevelType w:val="hybridMultilevel"/>
    <w:tmpl w:val="1B5E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41"/>
    <w:rsid w:val="00482EB4"/>
    <w:rsid w:val="004B62CC"/>
    <w:rsid w:val="00C32F41"/>
    <w:rsid w:val="00EE52DB"/>
    <w:rsid w:val="00F5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E9652-875D-49FD-BBC7-718C2EE8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F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McCabeT</dc:creator>
  <cp:keywords/>
  <dc:description/>
  <cp:lastModifiedBy>McCabeT</cp:lastModifiedBy>
  <cp:revision>2</cp:revision>
  <dcterms:created xsi:type="dcterms:W3CDTF">2020-03-27T14:50:00Z</dcterms:created>
  <dcterms:modified xsi:type="dcterms:W3CDTF">2020-03-27T14:50:00Z</dcterms:modified>
</cp:coreProperties>
</file>